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84" w:rsidRPr="009978E9" w:rsidRDefault="00332584" w:rsidP="00332584">
      <w:pPr>
        <w:spacing w:after="0" w:line="276" w:lineRule="auto"/>
        <w:jc w:val="both"/>
        <w:rPr>
          <w:rFonts w:ascii="Calibri Light" w:hAnsi="Calibri Light" w:cs="Calibri Light"/>
          <w:color w:val="262626" w:themeColor="text1" w:themeTint="D9"/>
          <w:sz w:val="21"/>
          <w:szCs w:val="21"/>
        </w:rPr>
      </w:pPr>
    </w:p>
    <w:tbl>
      <w:tblPr>
        <w:tblStyle w:val="a3"/>
        <w:tblW w:w="10348" w:type="dxa"/>
        <w:tblInd w:w="-142" w:type="dxa"/>
        <w:tblLook w:val="04A0" w:firstRow="1" w:lastRow="0" w:firstColumn="1" w:lastColumn="0" w:noHBand="0" w:noVBand="1"/>
      </w:tblPr>
      <w:tblGrid>
        <w:gridCol w:w="5022"/>
        <w:gridCol w:w="5326"/>
      </w:tblGrid>
      <w:tr w:rsidR="00332584" w:rsidRPr="009978E9" w:rsidTr="00E95DE3">
        <w:tc>
          <w:tcPr>
            <w:tcW w:w="5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584" w:rsidRPr="009978E9" w:rsidRDefault="00332584" w:rsidP="00332584">
            <w:pPr>
              <w:jc w:val="both"/>
              <w:rPr>
                <w:rFonts w:ascii="Calibri Light" w:eastAsia="Carlito" w:hAnsi="Calibri Light" w:cs="Calibri Light"/>
                <w:sz w:val="21"/>
                <w:szCs w:val="21"/>
              </w:rPr>
            </w:pPr>
            <w:r w:rsidRPr="009978E9">
              <w:rPr>
                <w:rFonts w:ascii="Calibri Light" w:eastAsia="Carlito" w:hAnsi="Calibri Light" w:cs="Calibri Light"/>
                <w:sz w:val="21"/>
                <w:szCs w:val="21"/>
              </w:rPr>
              <w:t xml:space="preserve">Исх. </w:t>
            </w:r>
            <w:r>
              <w:rPr>
                <w:rFonts w:ascii="Calibri Light" w:eastAsia="Carlito" w:hAnsi="Calibri Light" w:cs="Calibri Light"/>
                <w:sz w:val="21"/>
                <w:szCs w:val="21"/>
              </w:rPr>
              <w:t>№</w:t>
            </w:r>
            <w:r>
              <w:rPr>
                <w:rFonts w:ascii="Calibri Light" w:eastAsia="Carlito" w:hAnsi="Calibri Light" w:cs="Calibri Light"/>
                <w:sz w:val="21"/>
                <w:szCs w:val="21"/>
                <w:lang w:val="en-US"/>
              </w:rPr>
              <w:t>43</w:t>
            </w:r>
            <w:r w:rsidRPr="009978E9">
              <w:rPr>
                <w:rFonts w:ascii="Calibri Light" w:eastAsia="Carlito" w:hAnsi="Calibri Light" w:cs="Calibri Light"/>
                <w:sz w:val="21"/>
                <w:szCs w:val="21"/>
              </w:rPr>
              <w:t xml:space="preserve"> от </w:t>
            </w:r>
            <w:r>
              <w:rPr>
                <w:rFonts w:ascii="Calibri Light" w:eastAsia="Carlito" w:hAnsi="Calibri Light" w:cs="Calibri Light"/>
                <w:sz w:val="21"/>
                <w:szCs w:val="21"/>
                <w:lang w:val="en-US"/>
              </w:rPr>
              <w:t>01</w:t>
            </w:r>
            <w:r w:rsidRPr="009978E9">
              <w:rPr>
                <w:rFonts w:ascii="Calibri Light" w:eastAsia="Carlito" w:hAnsi="Calibri Light" w:cs="Calibri Light"/>
                <w:sz w:val="21"/>
                <w:szCs w:val="21"/>
              </w:rPr>
              <w:t>.0</w:t>
            </w:r>
            <w:r>
              <w:rPr>
                <w:rFonts w:ascii="Calibri Light" w:eastAsia="Carlito" w:hAnsi="Calibri Light" w:cs="Calibri Light"/>
                <w:sz w:val="21"/>
                <w:szCs w:val="21"/>
                <w:lang w:val="en-US"/>
              </w:rPr>
              <w:t>6</w:t>
            </w:r>
            <w:r w:rsidRPr="009978E9">
              <w:rPr>
                <w:rFonts w:ascii="Calibri Light" w:eastAsia="Carlito" w:hAnsi="Calibri Light" w:cs="Calibri Light"/>
                <w:sz w:val="21"/>
                <w:szCs w:val="21"/>
              </w:rPr>
              <w:t>.2024 г.</w:t>
            </w:r>
          </w:p>
        </w:tc>
        <w:tc>
          <w:tcPr>
            <w:tcW w:w="5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584" w:rsidRPr="0047178F" w:rsidRDefault="00332584" w:rsidP="0033258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7178F">
              <w:rPr>
                <w:rFonts w:asciiTheme="majorHAnsi" w:hAnsiTheme="majorHAnsi" w:cstheme="majorHAnsi"/>
                <w:sz w:val="20"/>
                <w:szCs w:val="20"/>
              </w:rPr>
              <w:t>Итоги всероссийской конкурсной программы архитектурного форума «Зодчество ВРН 2024»</w:t>
            </w:r>
          </w:p>
          <w:p w:rsidR="00332584" w:rsidRPr="009978E9" w:rsidRDefault="00332584" w:rsidP="00E95DE3">
            <w:pPr>
              <w:jc w:val="right"/>
              <w:rPr>
                <w:rFonts w:ascii="Calibri Light" w:eastAsia="Carlito" w:hAnsi="Calibri Light" w:cs="Calibri Light"/>
                <w:sz w:val="21"/>
                <w:szCs w:val="21"/>
              </w:rPr>
            </w:pPr>
          </w:p>
        </w:tc>
      </w:tr>
    </w:tbl>
    <w:p w:rsidR="00332584" w:rsidRPr="009978E9" w:rsidRDefault="00332584" w:rsidP="0033258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t xml:space="preserve">С 26 февраля по 31 мая 2024 года в городе Воронеже в рамках Архитектурного форума «Зодчество ВРН» традиционно организована конкурсная программа, которая включала в этом году четыре смотр-конкурса. 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Смотр-конкурс «Проекты» и смотр-конкурс «Постройки» определил лучшие архитектурные решения, представленные архитектурными бюро и строительными компаниями, проектными институтами. Участниками смотр-конкурса «Творчество молодых архитекторов» стали авторы проектов в возрасте до 35 лет, представившие свои авторские лучшие идеи. Также был организован смотр-конкурс «Творчество студентов архитектурных вузов и колледжей». Во всех направлениях конкурса рассмотрены проекты, разработанные или реализованные в период с 2022 по 2024 год.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</w:p>
    <w:p w:rsidR="00332584" w:rsidRPr="0047178F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Организатором конкурсной программы выступает министерство а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рхитектуры и градостроительства 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Воронежской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области, при поддержке Воронежской региональной организации Союза архитекторов России, Общероссийской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общественной организации «Союз архитекторов России». Оператор конкурса: БЮРО деловых событий.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</w:p>
    <w:p w:rsidR="00332584" w:rsidRPr="0047178F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Всего в рамках конкурсной программы </w:t>
      </w:r>
      <w:r w:rsidR="00114283">
        <w:rPr>
          <w:rFonts w:asciiTheme="majorHAnsi" w:eastAsia="Times New Roman" w:hAnsiTheme="majorHAnsi" w:cstheme="majorHAnsi"/>
          <w:color w:val="1A1A1A"/>
          <w:sz w:val="20"/>
          <w:szCs w:val="20"/>
        </w:rPr>
        <w:t>были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рассмотрены 16</w:t>
      </w:r>
      <w:r w:rsidR="00774899">
        <w:rPr>
          <w:rFonts w:asciiTheme="majorHAnsi" w:eastAsia="Times New Roman" w:hAnsiTheme="majorHAnsi" w:cstheme="majorHAnsi"/>
          <w:color w:val="1A1A1A"/>
          <w:sz w:val="20"/>
          <w:szCs w:val="20"/>
        </w:rPr>
        <w:t>9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проектов из 22 городов: Анапа, Астана, Белгород, </w:t>
      </w:r>
      <w:proofErr w:type="spellStart"/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Белоярск</w:t>
      </w:r>
      <w:proofErr w:type="spellEnd"/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, Борисоглебск, Воронеж, Екатеринбург, Иркутск, Курск, Липецк, Москва, Новосибирск, Пенза, Рамонь, Ростов-на-Дону, Самара, Санкт-Петербург, Саров, Севастополь, Уфа, Челябинск, Ярославль. В направлении «Творчество студентов архитектурных вузов и колледжей» представлены проекты из России и Казахстана, наиболее популярная номинация - «Архитектура», здесь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были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рассмотрен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ы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40 конкурсн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ых работ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. В направлении «Проекты» и «Постройки» члены жюри ознаком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ились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с 87 проектами. В на</w:t>
      </w:r>
      <w:bookmarkStart w:id="0" w:name="_GoBack"/>
      <w:bookmarkEnd w:id="0"/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>правлении «Постройки» большее количество работ презентовали в номинациях «Объекты социального и культурного назначения» и «Открытые общественные пространства». В направлении «Проекты» наибольшее количество проектов б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ыли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представлены в номинациях «Многоквартирные жилые здания» и «Многофункциональные градостроительные ансамбли и комплексы». </w:t>
      </w: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t xml:space="preserve">Конкурсная программа ежегодно и традиционно наполняет </w:t>
      </w:r>
      <w:r>
        <w:rPr>
          <w:rFonts w:asciiTheme="majorHAnsi" w:hAnsiTheme="majorHAnsi" w:cstheme="majorHAnsi"/>
          <w:sz w:val="20"/>
          <w:szCs w:val="20"/>
        </w:rPr>
        <w:t xml:space="preserve">архитектурный </w:t>
      </w:r>
      <w:r w:rsidRPr="0047178F">
        <w:rPr>
          <w:rFonts w:asciiTheme="majorHAnsi" w:hAnsiTheme="majorHAnsi" w:cstheme="majorHAnsi"/>
          <w:sz w:val="20"/>
          <w:szCs w:val="20"/>
        </w:rPr>
        <w:t>форум презентацией самых ярких идей</w:t>
      </w:r>
      <w:r>
        <w:rPr>
          <w:rFonts w:asciiTheme="majorHAnsi" w:hAnsiTheme="majorHAnsi" w:cstheme="majorHAnsi"/>
          <w:sz w:val="20"/>
          <w:szCs w:val="20"/>
        </w:rPr>
        <w:t>. А</w:t>
      </w:r>
      <w:r w:rsidRPr="0047178F">
        <w:rPr>
          <w:rFonts w:asciiTheme="majorHAnsi" w:hAnsiTheme="majorHAnsi" w:cstheme="majorHAnsi"/>
          <w:sz w:val="20"/>
          <w:szCs w:val="20"/>
        </w:rPr>
        <w:t xml:space="preserve">рхитектурные бюро, проектные институты и строительные компании, архитектурные вузы ежегодно представляют на конкурс ведущие разработки и делятся самыми интересным видением развития архитектурной и градостроительной практики. </w:t>
      </w: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Pr="002A73A5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Все проекты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были</w:t>
      </w:r>
      <w:r w:rsidRPr="0047178F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рассмотрены членами жюри в два этапа – заочное жюри 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на первом этапе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с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формиро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вало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рейтинговые позиции участников, оценка стала основанием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по 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формировани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ю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шорт-листа или рекомендацией очному жюри для определения победителей.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Заседание очного жюри состоялось 30 мая 2024 года, накануне проводимого архитектурного форума в городе Воронеже.</w:t>
      </w: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Pr="002A73A5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В состав очного жюри вошли: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Андрей </w:t>
      </w:r>
      <w:proofErr w:type="spellStart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Еренков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, м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инистр архитектуры и градостроительства Воронежской области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Константин Кузнецов, заместитель 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председателя правительства Воронежской области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Никита </w:t>
      </w:r>
      <w:proofErr w:type="spellStart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Фуфаев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, заместитель руководителя управления главного архитектора городского округа город Воронеж;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Алексей </w:t>
      </w:r>
      <w:proofErr w:type="spellStart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Комов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, первый вице-президент Союза московских архитекторов, г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лавный архитектор 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города 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Калуг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а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 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(председатель жюри);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Владимир </w:t>
      </w:r>
      <w:proofErr w:type="spellStart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Астанин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, п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редседатель Союза строителей Воронежской области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;</w:t>
      </w: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Дмитрий Соколов, р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уководитель </w:t>
      </w:r>
      <w:proofErr w:type="spellStart"/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Architectural</w:t>
      </w:r>
      <w:proofErr w:type="spellEnd"/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  <w:proofErr w:type="spellStart"/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bureau</w:t>
      </w:r>
      <w:proofErr w:type="spellEnd"/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 </w:t>
      </w:r>
      <w:proofErr w:type="spellStart"/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Plombir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Евгений Макаренко, р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уководитель Мастерской деревянной архитектуры Евгения Макаренко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;</w:t>
      </w:r>
    </w:p>
    <w:p w:rsidR="00332584" w:rsidRPr="002A73A5" w:rsidRDefault="00332584" w:rsidP="00332584">
      <w:pPr>
        <w:spacing w:after="0" w:line="276" w:lineRule="auto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 xml:space="preserve">Артем </w:t>
      </w:r>
      <w:proofErr w:type="spellStart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Слюсаревский</w:t>
      </w:r>
      <w:proofErr w:type="spellEnd"/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, руководитель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/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у</w:t>
      </w:r>
      <w:r w:rsidRPr="002A73A5">
        <w:rPr>
          <w:rFonts w:asciiTheme="majorHAnsi" w:eastAsia="Times New Roman" w:hAnsiTheme="majorHAnsi" w:cstheme="majorHAnsi"/>
          <w:color w:val="1A1A1A"/>
          <w:sz w:val="20"/>
          <w:szCs w:val="20"/>
        </w:rPr>
        <w:t>правляющий партнер архитектурно-дизайнерского бюро «Линейка»</w:t>
      </w:r>
      <w:r>
        <w:rPr>
          <w:rFonts w:asciiTheme="majorHAnsi" w:eastAsia="Times New Roman" w:hAnsiTheme="majorHAnsi" w:cstheme="majorHAnsi"/>
          <w:color w:val="1A1A1A"/>
          <w:sz w:val="20"/>
          <w:szCs w:val="20"/>
        </w:rPr>
        <w:t>.</w:t>
      </w:r>
    </w:p>
    <w:p w:rsidR="00332584" w:rsidRDefault="00332584" w:rsidP="00332584">
      <w:pPr>
        <w:spacing w:after="0"/>
        <w:jc w:val="both"/>
        <w:rPr>
          <w:rFonts w:asciiTheme="majorHAnsi" w:eastAsia="Times New Roman" w:hAnsiTheme="majorHAnsi" w:cstheme="majorHAnsi"/>
          <w:color w:val="1A1A1A"/>
          <w:sz w:val="20"/>
          <w:szCs w:val="20"/>
        </w:rPr>
      </w:pP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Результаты конкурса были объявлены на </w:t>
      </w:r>
      <w:r w:rsidRPr="0047178F">
        <w:rPr>
          <w:rFonts w:asciiTheme="majorHAnsi" w:hAnsiTheme="majorHAnsi" w:cstheme="majorHAnsi"/>
          <w:sz w:val="20"/>
          <w:szCs w:val="20"/>
        </w:rPr>
        <w:t>торжественной церемонии подведения итогов и награждения лауреатов конкурсной</w:t>
      </w:r>
      <w:r>
        <w:rPr>
          <w:rFonts w:asciiTheme="majorHAnsi" w:hAnsiTheme="majorHAnsi" w:cstheme="majorHAnsi"/>
          <w:sz w:val="20"/>
          <w:szCs w:val="20"/>
        </w:rPr>
        <w:t xml:space="preserve"> программы «Зодчество ВРН 2024» 31 мая 2024 года. Мероприятие открыл видео-приветствием президент Союза архитекторов России Николай Шумаков, отметив значимость и уровень проведения всероссийского конкурса, качество и профессионализм архитекторов – участников конкурсной программы.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Согласно положения конкурсной программы в рамках конкурса определяются гран-при в смотрах «Проекты» и «Постройки», главная награда в каждой номинации – диплом лауреата. Также жюри определяет специальные дипломы конкурсной программы и специальные дипломы Союза архитекторов России, которыми отмечаются сильные профессиональные решения среди заявленных работ.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Итоги конкурса:</w:t>
      </w:r>
    </w:p>
    <w:p w:rsidR="00332584" w:rsidRPr="00332584" w:rsidRDefault="00332584" w:rsidP="0033258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  <w:u w:val="single"/>
        </w:rPr>
        <w:br/>
      </w:r>
      <w:r w:rsidRPr="00332584">
        <w:rPr>
          <w:rFonts w:asciiTheme="minorHAnsi" w:hAnsiTheme="minorHAnsi" w:cstheme="minorHAnsi"/>
          <w:sz w:val="20"/>
          <w:szCs w:val="20"/>
        </w:rPr>
        <w:t>Смотр-конкурс «Творчество студентов архитектурных вузов и колледжей»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Специальный диплом:</w:t>
      </w:r>
    </w:p>
    <w:p w:rsidR="00332584" w:rsidRPr="003441DE" w:rsidRDefault="00332584" w:rsidP="00332584">
      <w:pPr>
        <w:pStyle w:val="a4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</w:t>
      </w:r>
      <w:r>
        <w:rPr>
          <w:rFonts w:asciiTheme="majorHAnsi" w:hAnsiTheme="majorHAnsi" w:cstheme="majorHAnsi"/>
          <w:sz w:val="20"/>
          <w:szCs w:val="20"/>
        </w:rPr>
        <w:t xml:space="preserve"> номинации «Архитектура» </w:t>
      </w:r>
      <w:r w:rsidRPr="003441DE">
        <w:rPr>
          <w:rFonts w:asciiTheme="majorHAnsi" w:hAnsiTheme="majorHAnsi" w:cstheme="majorHAnsi"/>
          <w:sz w:val="20"/>
          <w:szCs w:val="20"/>
        </w:rPr>
        <w:t>- проект «Реабилитационный центр для людей, переживших инсульт» Гришечкина Анастасия, Рудакова Кристина, Юрьева Анна, Федорова Алёна, Воронежский Государственный Технический Университет, г. Воронеж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3441DE" w:rsidRDefault="00332584" w:rsidP="00332584">
      <w:pPr>
        <w:pStyle w:val="a4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 xml:space="preserve">в номинации «Архитектура» - проект «Дом-акробат», Ерохин Ярослав, Новосибирский Государственный Университет Архитектуры, Дизайна и Искусств имени А.Д. </w:t>
      </w:r>
      <w:proofErr w:type="spellStart"/>
      <w:r w:rsidRPr="003441DE">
        <w:rPr>
          <w:rFonts w:asciiTheme="majorHAnsi" w:hAnsiTheme="majorHAnsi" w:cstheme="majorHAnsi"/>
          <w:sz w:val="20"/>
          <w:szCs w:val="20"/>
        </w:rPr>
        <w:t>Крячкова</w:t>
      </w:r>
      <w:proofErr w:type="spellEnd"/>
      <w:r w:rsidRPr="003441DE">
        <w:rPr>
          <w:rFonts w:asciiTheme="majorHAnsi" w:hAnsiTheme="majorHAnsi" w:cstheme="majorHAnsi"/>
          <w:sz w:val="20"/>
          <w:szCs w:val="20"/>
        </w:rPr>
        <w:t>, г. Новосибирск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3441DE" w:rsidRDefault="00332584" w:rsidP="00332584">
      <w:pPr>
        <w:pStyle w:val="a4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«Градостроительство» - проект «Поселок на 1500-2000 жителей», Корнилова Дарья, Воронежский Государственный Технический Университет, г. Воронеж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3441DE" w:rsidRDefault="00332584" w:rsidP="00332584">
      <w:pPr>
        <w:pStyle w:val="a4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«Реконструкция и реставрация архитектурного наследия»</w:t>
      </w:r>
      <w:r w:rsidR="00114283">
        <w:rPr>
          <w:rFonts w:asciiTheme="majorHAnsi" w:hAnsiTheme="majorHAnsi" w:cstheme="majorHAnsi"/>
          <w:sz w:val="20"/>
          <w:szCs w:val="20"/>
        </w:rPr>
        <w:t xml:space="preserve"> </w:t>
      </w:r>
      <w:r w:rsidRPr="003441DE">
        <w:rPr>
          <w:rFonts w:asciiTheme="majorHAnsi" w:hAnsiTheme="majorHAnsi" w:cstheme="majorHAnsi"/>
          <w:sz w:val="20"/>
          <w:szCs w:val="20"/>
        </w:rPr>
        <w:t xml:space="preserve">- проект «Концепция </w:t>
      </w:r>
      <w:proofErr w:type="spellStart"/>
      <w:r w:rsidRPr="003441DE">
        <w:rPr>
          <w:rFonts w:asciiTheme="majorHAnsi" w:hAnsiTheme="majorHAnsi" w:cstheme="majorHAnsi"/>
          <w:sz w:val="20"/>
          <w:szCs w:val="20"/>
        </w:rPr>
        <w:t>ремоделирования</w:t>
      </w:r>
      <w:proofErr w:type="spellEnd"/>
      <w:r w:rsidRPr="003441DE">
        <w:rPr>
          <w:rFonts w:asciiTheme="majorHAnsi" w:hAnsiTheme="majorHAnsi" w:cstheme="majorHAnsi"/>
          <w:sz w:val="20"/>
          <w:szCs w:val="20"/>
        </w:rPr>
        <w:t xml:space="preserve"> парка усадьбы Быково и элементов его ансамбля», Прохорова Елизавета, Московский Архитектурный институт, г. Москва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3441DE" w:rsidRDefault="00332584" w:rsidP="00332584">
      <w:pPr>
        <w:pStyle w:val="a4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«Реконструкция и реставрация архитектурного наследия» – проект «Реконструкция в режиме реставрации комплекса зданий кинотеатра «Пролетарий», Нартова Елизавета, Воронежский Государственный Технический Университет, г. Воронеж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Лаур</w:t>
      </w:r>
      <w:r>
        <w:rPr>
          <w:rFonts w:asciiTheme="majorHAnsi" w:hAnsiTheme="majorHAnsi" w:cstheme="majorHAnsi"/>
          <w:sz w:val="20"/>
          <w:szCs w:val="20"/>
        </w:rPr>
        <w:t>еаты:</w:t>
      </w:r>
    </w:p>
    <w:p w:rsidR="00332584" w:rsidRPr="003441DE" w:rsidRDefault="00332584" w:rsidP="00332584">
      <w:pPr>
        <w:pStyle w:val="a4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«Архитектура» - проект «</w:t>
      </w:r>
      <w:proofErr w:type="spellStart"/>
      <w:r w:rsidRPr="003441DE">
        <w:rPr>
          <w:rFonts w:asciiTheme="majorHAnsi" w:hAnsiTheme="majorHAnsi" w:cstheme="majorHAnsi"/>
          <w:sz w:val="20"/>
          <w:szCs w:val="20"/>
        </w:rPr>
        <w:t>Мортуарий</w:t>
      </w:r>
      <w:proofErr w:type="spellEnd"/>
      <w:r w:rsidRPr="003441DE">
        <w:rPr>
          <w:rFonts w:asciiTheme="majorHAnsi" w:hAnsiTheme="majorHAnsi" w:cstheme="majorHAnsi"/>
          <w:sz w:val="20"/>
          <w:szCs w:val="20"/>
        </w:rPr>
        <w:t xml:space="preserve"> в составе ритуального комплекса», </w:t>
      </w:r>
      <w:proofErr w:type="spellStart"/>
      <w:r w:rsidRPr="003441DE">
        <w:rPr>
          <w:rFonts w:asciiTheme="majorHAnsi" w:hAnsiTheme="majorHAnsi" w:cstheme="majorHAnsi"/>
          <w:sz w:val="20"/>
          <w:szCs w:val="20"/>
        </w:rPr>
        <w:t>Шамберина</w:t>
      </w:r>
      <w:proofErr w:type="spellEnd"/>
      <w:r w:rsidRPr="003441DE">
        <w:rPr>
          <w:rFonts w:asciiTheme="majorHAnsi" w:hAnsiTheme="majorHAnsi" w:cstheme="majorHAnsi"/>
          <w:sz w:val="20"/>
          <w:szCs w:val="20"/>
        </w:rPr>
        <w:t xml:space="preserve"> Мария, Воронежский Государственный Технический Университет, г. Воронеж</w:t>
      </w:r>
    </w:p>
    <w:p w:rsidR="00332584" w:rsidRPr="003441DE" w:rsidRDefault="00332584" w:rsidP="00332584">
      <w:pPr>
        <w:pStyle w:val="a4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«Градостроительство» - проект «Реконструкция архитектурно-планировочной структуры городской территории г. Воронежа», Звягин Игорь, Воронежский Государственный Технический Университет, г. Воронеж</w:t>
      </w:r>
    </w:p>
    <w:p w:rsidR="00332584" w:rsidRPr="003441DE" w:rsidRDefault="00332584" w:rsidP="00332584">
      <w:pPr>
        <w:pStyle w:val="a4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«Реконструкция и реставрация архитектурного наследия» – проект «Реставрация объекта культурного наследия «Здание мещанской управы» в городе Воронеже», Маслова Елена, Воронежский Государственный Технический Университет, г. Воронеж</w:t>
      </w:r>
    </w:p>
    <w:p w:rsidR="00332584" w:rsidRPr="003441DE" w:rsidRDefault="00332584" w:rsidP="00332584">
      <w:pPr>
        <w:pStyle w:val="a4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>в номинации «Дизайн архитектурной среды» - проект «Средовой дизайн Красноармейской улицы, г. Воронеж», Черных Анастасия, Воронежский Государственный Технический Университет, г. Воронеж</w:t>
      </w:r>
    </w:p>
    <w:p w:rsidR="00332584" w:rsidRPr="003441DE" w:rsidRDefault="00332584" w:rsidP="00332584">
      <w:pPr>
        <w:pStyle w:val="a4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441DE">
        <w:rPr>
          <w:rFonts w:asciiTheme="majorHAnsi" w:hAnsiTheme="majorHAnsi" w:cstheme="majorHAnsi"/>
          <w:sz w:val="20"/>
          <w:szCs w:val="20"/>
        </w:rPr>
        <w:t xml:space="preserve">в номинации «Творчество студентов архитектурных колледжей» - проект «Мультифункциональный студенческий комплекс», </w:t>
      </w:r>
      <w:proofErr w:type="spellStart"/>
      <w:r w:rsidRPr="003441DE">
        <w:rPr>
          <w:rFonts w:asciiTheme="majorHAnsi" w:hAnsiTheme="majorHAnsi" w:cstheme="majorHAnsi"/>
          <w:sz w:val="20"/>
          <w:szCs w:val="20"/>
        </w:rPr>
        <w:t>Смольникова</w:t>
      </w:r>
      <w:proofErr w:type="spellEnd"/>
      <w:r w:rsidRPr="003441DE">
        <w:rPr>
          <w:rFonts w:asciiTheme="majorHAnsi" w:hAnsiTheme="majorHAnsi" w:cstheme="majorHAnsi"/>
          <w:sz w:val="20"/>
          <w:szCs w:val="20"/>
        </w:rPr>
        <w:t xml:space="preserve"> Галина, Липецкий колледж строительства, архитектуры и отраслевых технологий, г. Липецк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Pr="00332584" w:rsidRDefault="00332584" w:rsidP="0033258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32584">
        <w:rPr>
          <w:rFonts w:asciiTheme="minorHAnsi" w:hAnsiTheme="minorHAnsi" w:cstheme="minorHAnsi"/>
          <w:sz w:val="20"/>
          <w:szCs w:val="20"/>
        </w:rPr>
        <w:t>Смотр-конкурс «Творчество молодых архитекторов»: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t xml:space="preserve">В </w:t>
      </w:r>
      <w:r>
        <w:rPr>
          <w:rFonts w:asciiTheme="majorHAnsi" w:hAnsiTheme="majorHAnsi" w:cstheme="majorHAnsi"/>
          <w:sz w:val="20"/>
          <w:szCs w:val="20"/>
        </w:rPr>
        <w:t>2024</w:t>
      </w:r>
      <w:r w:rsidRPr="0047178F">
        <w:rPr>
          <w:rFonts w:asciiTheme="majorHAnsi" w:hAnsiTheme="majorHAnsi" w:cstheme="majorHAnsi"/>
          <w:sz w:val="20"/>
          <w:szCs w:val="20"/>
        </w:rPr>
        <w:t xml:space="preserve"> году конкурсная программа</w:t>
      </w:r>
      <w:r>
        <w:rPr>
          <w:rFonts w:asciiTheme="majorHAnsi" w:hAnsiTheme="majorHAnsi" w:cstheme="majorHAnsi"/>
          <w:sz w:val="20"/>
          <w:szCs w:val="20"/>
        </w:rPr>
        <w:t xml:space="preserve"> «Зодчество ВРН»</w:t>
      </w:r>
      <w:r w:rsidRPr="0047178F">
        <w:rPr>
          <w:rFonts w:asciiTheme="majorHAnsi" w:hAnsiTheme="majorHAnsi" w:cstheme="majorHAnsi"/>
          <w:sz w:val="20"/>
          <w:szCs w:val="20"/>
        </w:rPr>
        <w:t xml:space="preserve"> включила новое направление – смотр-конкурс «Творчество молодых архитекторов». </w:t>
      </w:r>
      <w:r>
        <w:rPr>
          <w:rFonts w:asciiTheme="majorHAnsi" w:hAnsiTheme="majorHAnsi" w:cstheme="majorHAnsi"/>
          <w:sz w:val="20"/>
          <w:szCs w:val="20"/>
        </w:rPr>
        <w:t>В конкурсе приняли участие архитектор</w:t>
      </w:r>
      <w:r w:rsidR="00114283">
        <w:rPr>
          <w:rFonts w:asciiTheme="majorHAnsi" w:hAnsiTheme="majorHAnsi" w:cstheme="majorHAnsi"/>
          <w:sz w:val="20"/>
          <w:szCs w:val="20"/>
        </w:rPr>
        <w:t>ы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  <w:r w:rsidRPr="0047178F">
        <w:rPr>
          <w:rFonts w:asciiTheme="majorHAnsi" w:hAnsiTheme="majorHAnsi" w:cstheme="majorHAnsi"/>
          <w:sz w:val="20"/>
          <w:szCs w:val="20"/>
        </w:rPr>
        <w:t>Мыльников Иван Николаевич, г. Санкт-Петербург</w:t>
      </w:r>
      <w:r>
        <w:rPr>
          <w:rFonts w:asciiTheme="majorHAnsi" w:hAnsiTheme="majorHAnsi" w:cstheme="majorHAnsi"/>
          <w:sz w:val="20"/>
          <w:szCs w:val="20"/>
        </w:rPr>
        <w:t xml:space="preserve">; </w:t>
      </w:r>
      <w:proofErr w:type="spellStart"/>
      <w:r w:rsidRPr="0047178F">
        <w:rPr>
          <w:rFonts w:asciiTheme="majorHAnsi" w:hAnsiTheme="majorHAnsi" w:cstheme="majorHAnsi"/>
          <w:sz w:val="20"/>
          <w:szCs w:val="20"/>
        </w:rPr>
        <w:t>Чубур</w:t>
      </w:r>
      <w:proofErr w:type="spellEnd"/>
      <w:r w:rsidRPr="0047178F">
        <w:rPr>
          <w:rFonts w:asciiTheme="majorHAnsi" w:hAnsiTheme="majorHAnsi" w:cstheme="majorHAnsi"/>
          <w:sz w:val="20"/>
          <w:szCs w:val="20"/>
        </w:rPr>
        <w:t xml:space="preserve"> Борис Владимирович, г. Воронеж</w:t>
      </w:r>
      <w:r>
        <w:rPr>
          <w:rFonts w:asciiTheme="majorHAnsi" w:hAnsiTheme="majorHAnsi" w:cstheme="majorHAnsi"/>
          <w:sz w:val="20"/>
          <w:szCs w:val="20"/>
        </w:rPr>
        <w:t xml:space="preserve">; </w:t>
      </w:r>
      <w:proofErr w:type="spellStart"/>
      <w:r>
        <w:rPr>
          <w:rFonts w:asciiTheme="majorHAnsi" w:hAnsiTheme="majorHAnsi" w:cstheme="majorHAnsi"/>
          <w:sz w:val="20"/>
          <w:szCs w:val="20"/>
        </w:rPr>
        <w:t>Имамкулиев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Искандер </w:t>
      </w:r>
      <w:proofErr w:type="spellStart"/>
      <w:r>
        <w:rPr>
          <w:rFonts w:asciiTheme="majorHAnsi" w:hAnsiTheme="majorHAnsi" w:cstheme="majorHAnsi"/>
          <w:sz w:val="20"/>
          <w:szCs w:val="20"/>
        </w:rPr>
        <w:t>Абасалиевич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и</w:t>
      </w:r>
      <w:r w:rsidRPr="0047178F">
        <w:rPr>
          <w:rFonts w:asciiTheme="majorHAnsi" w:hAnsiTheme="majorHAnsi" w:cstheme="majorHAnsi"/>
          <w:sz w:val="20"/>
          <w:szCs w:val="20"/>
        </w:rPr>
        <w:t xml:space="preserve"> Одинцова Юлия Александровна, г. Воронеж</w:t>
      </w:r>
      <w:r>
        <w:rPr>
          <w:rFonts w:asciiTheme="majorHAnsi" w:hAnsiTheme="majorHAnsi" w:cstheme="majorHAnsi"/>
          <w:sz w:val="20"/>
          <w:szCs w:val="20"/>
        </w:rPr>
        <w:t xml:space="preserve">; </w:t>
      </w:r>
      <w:r w:rsidRPr="0047178F">
        <w:rPr>
          <w:rFonts w:asciiTheme="majorHAnsi" w:hAnsiTheme="majorHAnsi" w:cstheme="majorHAnsi"/>
          <w:sz w:val="20"/>
          <w:szCs w:val="20"/>
        </w:rPr>
        <w:t>Шестаков Евгений Алексеевич, г. Санкт-Петербург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:rsidR="00332584" w:rsidRPr="00153578" w:rsidRDefault="00332584" w:rsidP="00332584">
      <w:pPr>
        <w:pStyle w:val="a4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Лауреат смотр-конкурса: Иван Мыльников – проект </w:t>
      </w:r>
      <w:r w:rsidR="00114283">
        <w:rPr>
          <w:rFonts w:asciiTheme="majorHAnsi" w:hAnsiTheme="majorHAnsi" w:cstheme="majorHAnsi"/>
          <w:sz w:val="20"/>
          <w:szCs w:val="20"/>
        </w:rPr>
        <w:t>«</w:t>
      </w:r>
      <w:proofErr w:type="spellStart"/>
      <w:r w:rsidR="00114283">
        <w:rPr>
          <w:rFonts w:asciiTheme="majorHAnsi" w:hAnsiTheme="majorHAnsi" w:cstheme="majorHAnsi"/>
          <w:sz w:val="20"/>
          <w:szCs w:val="20"/>
        </w:rPr>
        <w:t>Sloppie</w:t>
      </w:r>
      <w:proofErr w:type="spellEnd"/>
      <w:r w:rsidR="00114283">
        <w:rPr>
          <w:rFonts w:asciiTheme="majorHAnsi" w:hAnsiTheme="majorHAnsi" w:cstheme="majorHAnsi"/>
          <w:sz w:val="20"/>
          <w:szCs w:val="20"/>
        </w:rPr>
        <w:t>»</w:t>
      </w:r>
      <w:r w:rsidRPr="00153578">
        <w:rPr>
          <w:rFonts w:asciiTheme="majorHAnsi" w:hAnsiTheme="majorHAnsi" w:cstheme="majorHAnsi"/>
          <w:sz w:val="20"/>
          <w:szCs w:val="20"/>
        </w:rPr>
        <w:t xml:space="preserve"> - концептуальный проект транспортно-пер</w:t>
      </w:r>
      <w:r w:rsidR="00114283">
        <w:rPr>
          <w:rFonts w:asciiTheme="majorHAnsi" w:hAnsiTheme="majorHAnsi" w:cstheme="majorHAnsi"/>
          <w:sz w:val="20"/>
          <w:szCs w:val="20"/>
        </w:rPr>
        <w:t xml:space="preserve">есадочного узла с автовокзалом», </w:t>
      </w:r>
      <w:r w:rsidRPr="00153578">
        <w:rPr>
          <w:rFonts w:asciiTheme="majorHAnsi" w:hAnsiTheme="majorHAnsi" w:cstheme="majorHAnsi"/>
          <w:sz w:val="20"/>
          <w:szCs w:val="20"/>
        </w:rPr>
        <w:t>также отмечен дипломом Ассоциации Деревянного Домостроения.</w:t>
      </w:r>
    </w:p>
    <w:p w:rsidR="00332584" w:rsidRPr="00332584" w:rsidRDefault="00332584" w:rsidP="0033258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br/>
      </w:r>
      <w:r w:rsidRPr="00332584">
        <w:rPr>
          <w:rFonts w:asciiTheme="minorHAnsi" w:hAnsiTheme="minorHAnsi" w:cstheme="minorHAnsi"/>
          <w:sz w:val="20"/>
          <w:szCs w:val="20"/>
        </w:rPr>
        <w:t>Смотр-конкурс «Постройки»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t>Специальный диплом Союза архитекторов России в конкурсной</w:t>
      </w:r>
      <w:r>
        <w:rPr>
          <w:rFonts w:asciiTheme="majorHAnsi" w:hAnsiTheme="majorHAnsi" w:cstheme="majorHAnsi"/>
          <w:sz w:val="20"/>
          <w:szCs w:val="20"/>
        </w:rPr>
        <w:t xml:space="preserve"> программе «Зодчество ВРН 2024»</w:t>
      </w:r>
      <w:r w:rsidRPr="0047178F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332584" w:rsidRPr="003441DE" w:rsidRDefault="00332584" w:rsidP="00332584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3441DE">
        <w:rPr>
          <w:rFonts w:asciiTheme="majorHAnsi" w:hAnsiTheme="majorHAnsi" w:cstheme="majorHAnsi"/>
          <w:sz w:val="20"/>
          <w:szCs w:val="20"/>
        </w:rPr>
        <w:t xml:space="preserve"> номинации «Объект социального и культурного назначения» - ООО Специализированный застройщик</w:t>
      </w:r>
      <w:r w:rsidR="00114283">
        <w:rPr>
          <w:rFonts w:asciiTheme="majorHAnsi" w:hAnsiTheme="majorHAnsi" w:cstheme="majorHAnsi"/>
          <w:sz w:val="20"/>
          <w:szCs w:val="20"/>
        </w:rPr>
        <w:t xml:space="preserve"> «ПГС» - проект</w:t>
      </w:r>
      <w:r w:rsidRPr="003441DE">
        <w:rPr>
          <w:rFonts w:asciiTheme="majorHAnsi" w:hAnsiTheme="majorHAnsi" w:cstheme="majorHAnsi"/>
          <w:sz w:val="20"/>
          <w:szCs w:val="20"/>
        </w:rPr>
        <w:t xml:space="preserve"> «Реконструкция санатория «ОЛИМП ЗДОРОВЬЯ» и строительства нового корпуса, г. Воронеж»</w:t>
      </w:r>
      <w:r>
        <w:rPr>
          <w:rFonts w:asciiTheme="majorHAnsi" w:hAnsiTheme="majorHAnsi" w:cstheme="majorHAnsi"/>
          <w:sz w:val="20"/>
          <w:szCs w:val="20"/>
        </w:rPr>
        <w:t>.</w:t>
      </w:r>
      <w:r w:rsidRPr="003441D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Специальный диплом:</w:t>
      </w:r>
    </w:p>
    <w:p w:rsidR="00332584" w:rsidRDefault="00332584" w:rsidP="00332584">
      <w:pPr>
        <w:pStyle w:val="a4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в номинации «Открытые общественные пространства» - </w:t>
      </w:r>
      <w:r w:rsidR="00114283">
        <w:rPr>
          <w:rFonts w:asciiTheme="majorHAnsi" w:hAnsiTheme="majorHAnsi" w:cstheme="majorHAnsi"/>
          <w:sz w:val="20"/>
          <w:szCs w:val="20"/>
        </w:rPr>
        <w:t xml:space="preserve">архитектор </w:t>
      </w:r>
      <w:r w:rsidRPr="00153578">
        <w:rPr>
          <w:rFonts w:asciiTheme="majorHAnsi" w:hAnsiTheme="majorHAnsi" w:cstheme="majorHAnsi"/>
          <w:sz w:val="20"/>
          <w:szCs w:val="20"/>
        </w:rPr>
        <w:t xml:space="preserve">Михаил </w:t>
      </w:r>
      <w:proofErr w:type="spellStart"/>
      <w:r w:rsidRPr="00153578">
        <w:rPr>
          <w:rFonts w:asciiTheme="majorHAnsi" w:hAnsiTheme="majorHAnsi" w:cstheme="majorHAnsi"/>
          <w:sz w:val="20"/>
          <w:szCs w:val="20"/>
        </w:rPr>
        <w:t>Кошпаев</w:t>
      </w:r>
      <w:proofErr w:type="spellEnd"/>
      <w:r>
        <w:rPr>
          <w:rFonts w:asciiTheme="majorHAnsi" w:hAnsiTheme="majorHAnsi" w:cstheme="majorHAnsi"/>
          <w:sz w:val="20"/>
          <w:szCs w:val="20"/>
        </w:rPr>
        <w:t>, г. Белоярский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«Парк спорта и отдыха «Белая горка», г. Белоярский, </w:t>
      </w:r>
      <w:proofErr w:type="spellStart"/>
      <w:r w:rsidRPr="00153578">
        <w:rPr>
          <w:rFonts w:asciiTheme="majorHAnsi" w:hAnsiTheme="majorHAnsi" w:cstheme="majorHAnsi"/>
          <w:sz w:val="20"/>
          <w:szCs w:val="20"/>
        </w:rPr>
        <w:t>Хмао</w:t>
      </w:r>
      <w:proofErr w:type="spellEnd"/>
      <w:r w:rsidRPr="00153578">
        <w:rPr>
          <w:rFonts w:asciiTheme="majorHAnsi" w:hAnsiTheme="majorHAnsi" w:cstheme="majorHAnsi"/>
          <w:sz w:val="20"/>
          <w:szCs w:val="20"/>
        </w:rPr>
        <w:t>-Югра»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153578" w:rsidRDefault="00332584" w:rsidP="00332584">
      <w:pPr>
        <w:pStyle w:val="a4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«Открытые общественные пространства</w:t>
      </w:r>
      <w:r>
        <w:rPr>
          <w:rFonts w:asciiTheme="majorHAnsi" w:hAnsiTheme="majorHAnsi" w:cstheme="majorHAnsi"/>
          <w:sz w:val="20"/>
          <w:szCs w:val="20"/>
        </w:rPr>
        <w:t xml:space="preserve">» </w:t>
      </w:r>
      <w:r w:rsidRPr="00153578">
        <w:rPr>
          <w:rFonts w:asciiTheme="majorHAnsi" w:hAnsiTheme="majorHAnsi" w:cstheme="majorHAnsi"/>
          <w:sz w:val="20"/>
          <w:szCs w:val="20"/>
        </w:rPr>
        <w:t xml:space="preserve">- </w:t>
      </w:r>
      <w:r w:rsidR="00114283"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«ВЕЩЬ!», г. Пенза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«Благоустройство территории центрального парка культуры и отдыха им. В.Г. Белинского»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Лауреаты:</w:t>
      </w:r>
    </w:p>
    <w:p w:rsidR="00332584" w:rsidRDefault="00332584" w:rsidP="00332584">
      <w:pPr>
        <w:pStyle w:val="a4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>в номинации «Многоквартирные жилые здания» - ООО «Персональная творческая мастерская №3 Союза архитекторов РФ», г. Воронеж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«Многоквартирный жилой дом «RENESSANSE», г. Воронеж»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в номинации «Объект социального и культурного назначения» - АО </w:t>
      </w:r>
      <w:r w:rsidR="00114283">
        <w:rPr>
          <w:rFonts w:asciiTheme="majorHAnsi" w:hAnsiTheme="majorHAnsi" w:cstheme="majorHAnsi"/>
          <w:sz w:val="20"/>
          <w:szCs w:val="20"/>
        </w:rPr>
        <w:t>ПИ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«ГИПРОКОММУНДОРТРАНС»</w:t>
      </w:r>
      <w:r>
        <w:rPr>
          <w:rFonts w:asciiTheme="majorHAnsi" w:hAnsiTheme="majorHAnsi" w:cstheme="majorHAnsi"/>
          <w:sz w:val="20"/>
          <w:szCs w:val="20"/>
        </w:rPr>
        <w:t xml:space="preserve">, г. Воронеж </w:t>
      </w:r>
      <w:r w:rsidRPr="00153578">
        <w:rPr>
          <w:rFonts w:asciiTheme="majorHAnsi" w:hAnsiTheme="majorHAnsi" w:cstheme="majorHAnsi"/>
          <w:sz w:val="20"/>
          <w:szCs w:val="20"/>
        </w:rPr>
        <w:t>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«Образовательный центр «Содружество»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153578" w:rsidRDefault="00332584" w:rsidP="00332584">
      <w:pPr>
        <w:pStyle w:val="a4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>в номинации «Открытые общественные пространства» - ООО «М4», г. Москва</w:t>
      </w:r>
      <w:r>
        <w:rPr>
          <w:rFonts w:asciiTheme="majorHAnsi" w:hAnsiTheme="majorHAnsi" w:cstheme="majorHAnsi"/>
          <w:sz w:val="20"/>
          <w:szCs w:val="20"/>
        </w:rPr>
        <w:t xml:space="preserve">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«Благоустройство Советской площади в г. Ялта». 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332584" w:rsidRPr="00332584" w:rsidRDefault="00332584" w:rsidP="0033258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32584">
        <w:rPr>
          <w:rFonts w:asciiTheme="minorHAnsi" w:hAnsiTheme="minorHAnsi" w:cstheme="minorHAnsi"/>
          <w:sz w:val="20"/>
          <w:szCs w:val="20"/>
        </w:rPr>
        <w:t>Смотр-конкурс «Проекты»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7178F">
        <w:rPr>
          <w:rFonts w:asciiTheme="majorHAnsi" w:hAnsiTheme="majorHAnsi" w:cstheme="majorHAnsi"/>
          <w:sz w:val="20"/>
          <w:szCs w:val="20"/>
        </w:rPr>
        <w:t>Специальный диплом Союза архитекторов России в конкурсной</w:t>
      </w:r>
      <w:r>
        <w:rPr>
          <w:rFonts w:asciiTheme="majorHAnsi" w:hAnsiTheme="majorHAnsi" w:cstheme="majorHAnsi"/>
          <w:sz w:val="20"/>
          <w:szCs w:val="20"/>
        </w:rPr>
        <w:t xml:space="preserve"> программе «Зодчество ВРН 2024»</w:t>
      </w:r>
      <w:r w:rsidRPr="0047178F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332584" w:rsidRPr="00332584" w:rsidRDefault="00332584" w:rsidP="00332584">
      <w:pPr>
        <w:pStyle w:val="a4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в </w:t>
      </w:r>
      <w:r w:rsidRPr="00332584">
        <w:rPr>
          <w:rFonts w:asciiTheme="majorHAnsi" w:hAnsiTheme="majorHAnsi" w:cstheme="majorHAnsi"/>
          <w:sz w:val="20"/>
          <w:szCs w:val="20"/>
        </w:rPr>
        <w:t xml:space="preserve">номинации «Многоквартирные жилые здания» - </w:t>
      </w:r>
      <w:r w:rsidR="00114283">
        <w:rPr>
          <w:rFonts w:asciiTheme="majorHAnsi" w:hAnsiTheme="majorHAnsi" w:cstheme="majorHAnsi"/>
          <w:sz w:val="20"/>
          <w:szCs w:val="20"/>
        </w:rPr>
        <w:t>ГК</w:t>
      </w:r>
      <w:r w:rsidRPr="00332584">
        <w:rPr>
          <w:rFonts w:asciiTheme="majorHAnsi" w:hAnsiTheme="majorHAnsi" w:cstheme="majorHAnsi"/>
          <w:sz w:val="20"/>
          <w:szCs w:val="20"/>
        </w:rPr>
        <w:t xml:space="preserve"> «КРАЙС» Проект: «Архитектурное решение жилого дома, г. Воронеж, ул. Революции 1905 года, Клубный дом «905».</w:t>
      </w:r>
    </w:p>
    <w:p w:rsidR="00332584" w:rsidRPr="00153578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>Специальный диплом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>в номинации «Многоквартирные жилые здания» - ООО «ЭШЕР», г. Челябинск</w:t>
      </w:r>
      <w:r>
        <w:rPr>
          <w:rFonts w:asciiTheme="majorHAnsi" w:hAnsiTheme="majorHAnsi" w:cstheme="majorHAnsi"/>
          <w:sz w:val="20"/>
          <w:szCs w:val="20"/>
        </w:rPr>
        <w:t xml:space="preserve">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«Жилой комплекс по ул. Красная, г. Челябинск»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«Объект социального и культурного назначения» - ООО «САГАЛПРОЕКТ»</w:t>
      </w:r>
      <w:r>
        <w:rPr>
          <w:rFonts w:asciiTheme="majorHAnsi" w:hAnsiTheme="majorHAnsi" w:cstheme="majorHAnsi"/>
          <w:sz w:val="20"/>
          <w:szCs w:val="20"/>
        </w:rPr>
        <w:t>, г. Липецк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«Реновация комплекса музея народных промыслов и культурного центра Елецкой рояльной гармони им. А.И. Матюхина, Липецкая область, г. Елец»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«Объект социального и культурного назначения» - ООО «</w:t>
      </w:r>
      <w:proofErr w:type="spellStart"/>
      <w:r w:rsidRPr="00153578">
        <w:rPr>
          <w:rFonts w:asciiTheme="majorHAnsi" w:hAnsiTheme="majorHAnsi" w:cstheme="majorHAnsi"/>
          <w:sz w:val="20"/>
          <w:szCs w:val="20"/>
        </w:rPr>
        <w:t>ПроектИнжиниринг</w:t>
      </w:r>
      <w:proofErr w:type="spellEnd"/>
      <w:r w:rsidRPr="00153578">
        <w:rPr>
          <w:rFonts w:asciiTheme="majorHAnsi" w:hAnsiTheme="majorHAnsi" w:cstheme="majorHAnsi"/>
          <w:sz w:val="20"/>
          <w:szCs w:val="20"/>
        </w:rPr>
        <w:t>»</w:t>
      </w:r>
      <w:r>
        <w:rPr>
          <w:rFonts w:asciiTheme="majorHAnsi" w:hAnsiTheme="majorHAnsi" w:cstheme="majorHAnsi"/>
          <w:sz w:val="20"/>
          <w:szCs w:val="20"/>
        </w:rPr>
        <w:t xml:space="preserve">, г. Воронеж - </w:t>
      </w:r>
      <w:r w:rsidRPr="00153578">
        <w:rPr>
          <w:rFonts w:asciiTheme="majorHAnsi" w:hAnsiTheme="majorHAnsi" w:cstheme="majorHAnsi"/>
          <w:sz w:val="20"/>
          <w:szCs w:val="20"/>
        </w:rPr>
        <w:t>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«Медицинский центр, г. Печора, Псковская область»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«Многофункциональные градостроительные ансамбли и комплексы</w:t>
      </w:r>
      <w:r>
        <w:rPr>
          <w:rFonts w:asciiTheme="majorHAnsi" w:hAnsiTheme="majorHAnsi" w:cstheme="majorHAnsi"/>
          <w:sz w:val="20"/>
          <w:szCs w:val="20"/>
        </w:rPr>
        <w:t xml:space="preserve">» </w:t>
      </w:r>
      <w:r w:rsidRPr="00153578">
        <w:rPr>
          <w:rFonts w:asciiTheme="majorHAnsi" w:hAnsiTheme="majorHAnsi" w:cstheme="majorHAnsi"/>
          <w:sz w:val="20"/>
          <w:szCs w:val="20"/>
        </w:rPr>
        <w:t>- ГК «ОСНОВА»</w:t>
      </w:r>
      <w:r>
        <w:rPr>
          <w:rFonts w:asciiTheme="majorHAnsi" w:hAnsiTheme="majorHAnsi" w:cstheme="majorHAnsi"/>
          <w:sz w:val="20"/>
          <w:szCs w:val="20"/>
        </w:rPr>
        <w:t>, г. Севастополь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проект «Концепция комплексного развития территории, г. Краснодар»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«Открытые общественные пространства» - </w:t>
      </w:r>
      <w:r>
        <w:rPr>
          <w:rFonts w:asciiTheme="majorHAnsi" w:hAnsiTheme="majorHAnsi" w:cstheme="majorHAnsi"/>
          <w:sz w:val="20"/>
          <w:szCs w:val="20"/>
        </w:rPr>
        <w:t>ПБ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«ПРОБЕЛ», г. Воронеж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«Природно-ландшафтный парк «Невский»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«Открытые общественные пространства» - </w:t>
      </w:r>
      <w:r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«ВЕЩЬ!»</w:t>
      </w:r>
      <w:r>
        <w:rPr>
          <w:rFonts w:asciiTheme="majorHAnsi" w:hAnsiTheme="majorHAnsi" w:cstheme="majorHAnsi"/>
          <w:sz w:val="20"/>
          <w:szCs w:val="20"/>
        </w:rPr>
        <w:t>, г. Пенза – проект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«Концепция благоустройства территории ЖК WOW, г. Москва»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153578" w:rsidRDefault="00332584" w:rsidP="00332584">
      <w:pPr>
        <w:pStyle w:val="a4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«Открытые общественные пространства» - </w:t>
      </w:r>
      <w:r>
        <w:rPr>
          <w:rFonts w:asciiTheme="majorHAnsi" w:hAnsiTheme="majorHAnsi" w:cstheme="majorHAnsi"/>
          <w:sz w:val="20"/>
          <w:szCs w:val="20"/>
        </w:rPr>
        <w:t>ООО «М4»</w:t>
      </w:r>
      <w:r w:rsidRPr="00153578">
        <w:rPr>
          <w:rFonts w:asciiTheme="majorHAnsi" w:hAnsiTheme="majorHAnsi" w:cstheme="majorHAnsi"/>
          <w:sz w:val="20"/>
          <w:szCs w:val="20"/>
        </w:rPr>
        <w:t>, г. Москва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«Концепция благоустройства природного парка «</w:t>
      </w:r>
      <w:proofErr w:type="spellStart"/>
      <w:r w:rsidRPr="00153578">
        <w:rPr>
          <w:rFonts w:asciiTheme="majorHAnsi" w:hAnsiTheme="majorHAnsi" w:cstheme="majorHAnsi"/>
          <w:sz w:val="20"/>
          <w:szCs w:val="20"/>
        </w:rPr>
        <w:t>Култучное</w:t>
      </w:r>
      <w:proofErr w:type="spellEnd"/>
      <w:r w:rsidRPr="00153578">
        <w:rPr>
          <w:rFonts w:asciiTheme="majorHAnsi" w:hAnsiTheme="majorHAnsi" w:cstheme="majorHAnsi"/>
          <w:sz w:val="20"/>
          <w:szCs w:val="20"/>
        </w:rPr>
        <w:t xml:space="preserve"> озеро» в городе </w:t>
      </w:r>
      <w:r>
        <w:rPr>
          <w:rFonts w:asciiTheme="majorHAnsi" w:hAnsiTheme="majorHAnsi" w:cstheme="majorHAnsi"/>
          <w:sz w:val="20"/>
          <w:szCs w:val="20"/>
        </w:rPr>
        <w:t>Петропавловск-Камчатский».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Лауреаты:</w:t>
      </w:r>
    </w:p>
    <w:p w:rsidR="00332584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в </w:t>
      </w:r>
      <w:r w:rsidRPr="00153578">
        <w:rPr>
          <w:rFonts w:asciiTheme="majorHAnsi" w:hAnsiTheme="majorHAnsi" w:cstheme="majorHAnsi"/>
          <w:sz w:val="20"/>
          <w:szCs w:val="20"/>
        </w:rPr>
        <w:t>номинации «Объект социаль</w:t>
      </w:r>
      <w:r>
        <w:rPr>
          <w:rFonts w:asciiTheme="majorHAnsi" w:hAnsiTheme="majorHAnsi" w:cstheme="majorHAnsi"/>
          <w:sz w:val="20"/>
          <w:szCs w:val="20"/>
        </w:rPr>
        <w:t xml:space="preserve">ного и культурного назначения» </w:t>
      </w:r>
      <w:r w:rsidRPr="00153578">
        <w:rPr>
          <w:rFonts w:asciiTheme="majorHAnsi" w:hAnsiTheme="majorHAnsi" w:cstheme="majorHAnsi"/>
          <w:sz w:val="20"/>
          <w:szCs w:val="20"/>
        </w:rPr>
        <w:t xml:space="preserve">- АО </w:t>
      </w:r>
      <w:r>
        <w:rPr>
          <w:rFonts w:asciiTheme="majorHAnsi" w:hAnsiTheme="majorHAnsi" w:cstheme="majorHAnsi"/>
          <w:sz w:val="20"/>
          <w:szCs w:val="20"/>
        </w:rPr>
        <w:t>ПИ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«ГИПРОКОММУНДОРТРАНС», г. Воронеж</w:t>
      </w:r>
      <w:r>
        <w:rPr>
          <w:rFonts w:asciiTheme="majorHAnsi" w:hAnsiTheme="majorHAnsi" w:cstheme="majorHAnsi"/>
          <w:sz w:val="20"/>
          <w:szCs w:val="20"/>
        </w:rPr>
        <w:t xml:space="preserve"> - проект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«Детское дошкольное учреждение на 600 мест, г. Воронеж, Московский проспект»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в номинации «Многоквартирные жилые здания» - консорциум: </w:t>
      </w:r>
      <w:r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Романа </w:t>
      </w:r>
      <w:proofErr w:type="spellStart"/>
      <w:r w:rsidRPr="00153578">
        <w:rPr>
          <w:rFonts w:asciiTheme="majorHAnsi" w:hAnsiTheme="majorHAnsi" w:cstheme="majorHAnsi"/>
          <w:sz w:val="20"/>
          <w:szCs w:val="20"/>
        </w:rPr>
        <w:t>Пупавцева</w:t>
      </w:r>
      <w:proofErr w:type="spellEnd"/>
      <w:r w:rsidRPr="00153578">
        <w:rPr>
          <w:rFonts w:asciiTheme="majorHAnsi" w:hAnsiTheme="majorHAnsi" w:cstheme="majorHAnsi"/>
          <w:sz w:val="20"/>
          <w:szCs w:val="20"/>
        </w:rPr>
        <w:t xml:space="preserve"> и </w:t>
      </w:r>
      <w:r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</w:t>
      </w:r>
      <w:r w:rsidRPr="00153578">
        <w:rPr>
          <w:rFonts w:asciiTheme="majorHAnsi" w:hAnsiTheme="majorHAnsi" w:cstheme="majorHAnsi"/>
          <w:sz w:val="20"/>
          <w:szCs w:val="20"/>
          <w:lang w:val="en-US"/>
        </w:rPr>
        <w:t>SFERA</w:t>
      </w:r>
      <w:r w:rsidRPr="00153578">
        <w:rPr>
          <w:rFonts w:asciiTheme="majorHAnsi" w:hAnsiTheme="majorHAnsi" w:cstheme="majorHAnsi"/>
          <w:sz w:val="20"/>
          <w:szCs w:val="20"/>
        </w:rPr>
        <w:t xml:space="preserve"> ARСH DESIGN, г. Воронеж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«Проект многофункционального жилого комплекса в городе Воронеже»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>в номинации «Малоэтажные здания» - ООО «ПОЛЕ ДЕВЕЛОПМЕНТ», г. Липецк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«Парковые кварталы» Липецкая область, с. Ленино»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в номинации «Многофункциональные градостроительные ансамбли и комплексы» - Консорциум </w:t>
      </w:r>
      <w:r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«22STUDIO» и </w:t>
      </w:r>
      <w:r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«ПАСП», г. Воронеж – проект </w:t>
      </w:r>
      <w:r>
        <w:rPr>
          <w:rFonts w:asciiTheme="majorHAnsi" w:hAnsiTheme="majorHAnsi" w:cstheme="majorHAnsi"/>
          <w:sz w:val="20"/>
          <w:szCs w:val="20"/>
        </w:rPr>
        <w:t>«Э</w:t>
      </w:r>
      <w:r w:rsidRPr="00153578">
        <w:rPr>
          <w:rFonts w:asciiTheme="majorHAnsi" w:hAnsiTheme="majorHAnsi" w:cstheme="majorHAnsi"/>
          <w:sz w:val="20"/>
          <w:szCs w:val="20"/>
        </w:rPr>
        <w:t>ко-квартал «Зеленый берег», г. Липецк»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53578">
        <w:rPr>
          <w:rFonts w:asciiTheme="majorHAnsi" w:hAnsiTheme="majorHAnsi" w:cstheme="majorHAnsi"/>
          <w:sz w:val="20"/>
          <w:szCs w:val="20"/>
        </w:rPr>
        <w:t xml:space="preserve">в номинации «Открытые общественные пространства» - </w:t>
      </w:r>
      <w:r w:rsidR="00114283"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FISH, г. Екатеринбург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«Концепция развития Площади Первой Пятилетки, г. Екатеринбург»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Pr="00153578" w:rsidRDefault="00332584" w:rsidP="00332584">
      <w:pPr>
        <w:pStyle w:val="a4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в</w:t>
      </w:r>
      <w:r w:rsidRPr="00153578">
        <w:rPr>
          <w:rFonts w:asciiTheme="majorHAnsi" w:hAnsiTheme="majorHAnsi" w:cstheme="majorHAnsi"/>
          <w:sz w:val="20"/>
          <w:szCs w:val="20"/>
        </w:rPr>
        <w:t xml:space="preserve"> номинации «Открытые общественные пространства</w:t>
      </w:r>
      <w:r>
        <w:rPr>
          <w:rFonts w:asciiTheme="majorHAnsi" w:hAnsiTheme="majorHAnsi" w:cstheme="majorHAnsi"/>
          <w:sz w:val="20"/>
          <w:szCs w:val="20"/>
        </w:rPr>
        <w:t xml:space="preserve">» </w:t>
      </w:r>
      <w:r w:rsidRPr="00153578">
        <w:rPr>
          <w:rFonts w:asciiTheme="majorHAnsi" w:hAnsiTheme="majorHAnsi" w:cstheme="majorHAnsi"/>
          <w:sz w:val="20"/>
          <w:szCs w:val="20"/>
        </w:rPr>
        <w:t xml:space="preserve">- </w:t>
      </w:r>
      <w:r w:rsidR="00114283">
        <w:rPr>
          <w:rFonts w:asciiTheme="majorHAnsi" w:hAnsiTheme="majorHAnsi" w:cstheme="majorHAnsi"/>
          <w:sz w:val="20"/>
          <w:szCs w:val="20"/>
        </w:rPr>
        <w:t>АБ</w:t>
      </w:r>
      <w:r w:rsidRPr="00153578">
        <w:rPr>
          <w:rFonts w:asciiTheme="majorHAnsi" w:hAnsiTheme="majorHAnsi" w:cstheme="majorHAnsi"/>
          <w:sz w:val="20"/>
          <w:szCs w:val="20"/>
        </w:rPr>
        <w:t xml:space="preserve"> «22STUDIO»</w:t>
      </w:r>
      <w:r>
        <w:rPr>
          <w:rFonts w:asciiTheme="majorHAnsi" w:hAnsiTheme="majorHAnsi" w:cstheme="majorHAnsi"/>
          <w:sz w:val="20"/>
          <w:szCs w:val="20"/>
        </w:rPr>
        <w:t xml:space="preserve"> -</w:t>
      </w:r>
      <w:r w:rsidRPr="00153578">
        <w:rPr>
          <w:rFonts w:asciiTheme="majorHAnsi" w:hAnsiTheme="majorHAnsi" w:cstheme="majorHAnsi"/>
          <w:sz w:val="20"/>
          <w:szCs w:val="20"/>
        </w:rPr>
        <w:t xml:space="preserve"> проект «Концепция благоустройства Набережной авиастроителей, г. Воронеж»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Pr="00332584" w:rsidRDefault="00332584" w:rsidP="0033258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32584">
        <w:rPr>
          <w:rFonts w:asciiTheme="minorHAnsi" w:hAnsiTheme="minorHAnsi" w:cstheme="minorHAnsi"/>
          <w:sz w:val="20"/>
          <w:szCs w:val="20"/>
        </w:rPr>
        <w:t>Гран-при всероссийской конкурсной программы архитектурного форума «Зодчество ВРН 2024»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332584" w:rsidRPr="0047178F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Default="00332584" w:rsidP="00332584">
      <w:pPr>
        <w:pStyle w:val="a4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B47AB">
        <w:rPr>
          <w:rFonts w:asciiTheme="majorHAnsi" w:hAnsiTheme="majorHAnsi" w:cstheme="majorHAnsi"/>
          <w:sz w:val="20"/>
          <w:szCs w:val="20"/>
        </w:rPr>
        <w:lastRenderedPageBreak/>
        <w:t>в направлении «Постройки»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FB47AB">
        <w:rPr>
          <w:rFonts w:asciiTheme="majorHAnsi" w:hAnsiTheme="majorHAnsi" w:cstheme="majorHAnsi"/>
          <w:sz w:val="20"/>
          <w:szCs w:val="20"/>
        </w:rPr>
        <w:t xml:space="preserve">- </w:t>
      </w:r>
      <w:r>
        <w:rPr>
          <w:rFonts w:asciiTheme="majorHAnsi" w:hAnsiTheme="majorHAnsi" w:cstheme="majorHAnsi"/>
          <w:sz w:val="20"/>
          <w:szCs w:val="20"/>
        </w:rPr>
        <w:t>ООО</w:t>
      </w:r>
      <w:r w:rsidRPr="00FB47AB">
        <w:rPr>
          <w:rFonts w:asciiTheme="majorHAnsi" w:hAnsiTheme="majorHAnsi" w:cstheme="majorHAnsi"/>
          <w:sz w:val="20"/>
          <w:szCs w:val="20"/>
        </w:rPr>
        <w:t xml:space="preserve"> «М4», г. Москва - п</w:t>
      </w:r>
      <w:r>
        <w:rPr>
          <w:rFonts w:asciiTheme="majorHAnsi" w:hAnsiTheme="majorHAnsi" w:cstheme="majorHAnsi"/>
          <w:sz w:val="20"/>
          <w:szCs w:val="20"/>
        </w:rPr>
        <w:t>роект</w:t>
      </w:r>
      <w:r w:rsidRPr="00FB47AB">
        <w:rPr>
          <w:rFonts w:asciiTheme="majorHAnsi" w:hAnsiTheme="majorHAnsi" w:cstheme="majorHAnsi"/>
          <w:sz w:val="20"/>
          <w:szCs w:val="20"/>
        </w:rPr>
        <w:t xml:space="preserve"> «Благоустройство Советской площади в г. Ялта»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332584" w:rsidRDefault="00332584" w:rsidP="00332584">
      <w:pPr>
        <w:pStyle w:val="a4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B47AB">
        <w:rPr>
          <w:rFonts w:asciiTheme="majorHAnsi" w:hAnsiTheme="majorHAnsi" w:cstheme="majorHAnsi"/>
          <w:sz w:val="20"/>
          <w:szCs w:val="20"/>
        </w:rPr>
        <w:t xml:space="preserve">в направлении «Проекты» - АО Проектный институт «ГИПРОКОММУНДОРТРАНС», г. Воронеж </w:t>
      </w:r>
      <w:r>
        <w:rPr>
          <w:rFonts w:asciiTheme="majorHAnsi" w:hAnsiTheme="majorHAnsi" w:cstheme="majorHAnsi"/>
          <w:sz w:val="20"/>
          <w:szCs w:val="20"/>
        </w:rPr>
        <w:t>–</w:t>
      </w:r>
      <w:r w:rsidRPr="00FB47AB">
        <w:rPr>
          <w:rFonts w:asciiTheme="majorHAnsi" w:hAnsiTheme="majorHAnsi" w:cstheme="majorHAnsi"/>
          <w:sz w:val="20"/>
          <w:szCs w:val="20"/>
        </w:rPr>
        <w:t xml:space="preserve"> п</w:t>
      </w:r>
      <w:r>
        <w:rPr>
          <w:rFonts w:asciiTheme="majorHAnsi" w:hAnsiTheme="majorHAnsi" w:cstheme="majorHAnsi"/>
          <w:sz w:val="20"/>
          <w:szCs w:val="20"/>
        </w:rPr>
        <w:t xml:space="preserve">роект </w:t>
      </w:r>
      <w:r w:rsidRPr="00FB47AB">
        <w:rPr>
          <w:rFonts w:asciiTheme="majorHAnsi" w:hAnsiTheme="majorHAnsi" w:cstheme="majorHAnsi"/>
          <w:sz w:val="20"/>
          <w:szCs w:val="20"/>
        </w:rPr>
        <w:t>«Детское дошкольное учреждение на 600 мест, г. Воронеж, Московский проспект».</w:t>
      </w:r>
    </w:p>
    <w:p w:rsid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332584" w:rsidRPr="00332584" w:rsidRDefault="00332584" w:rsidP="0033258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Проекты всех участников конкурса и подробная информация о лауреатах размещена на официальной странице конкурсной программы «Зодчество ВРН 2024» </w:t>
      </w:r>
      <w:r>
        <w:rPr>
          <w:rFonts w:asciiTheme="majorHAnsi" w:hAnsiTheme="majorHAnsi" w:cstheme="majorHAnsi"/>
          <w:sz w:val="20"/>
          <w:szCs w:val="20"/>
          <w:lang w:val="en-US"/>
        </w:rPr>
        <w:t>www</w:t>
      </w:r>
      <w:r w:rsidRPr="00FB47AB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  <w:lang w:val="en-US"/>
        </w:rPr>
        <w:t>bureau</w:t>
      </w:r>
      <w:r w:rsidRPr="00FB47AB">
        <w:rPr>
          <w:rFonts w:asciiTheme="majorHAnsi" w:hAnsiTheme="majorHAnsi" w:cstheme="majorHAnsi"/>
          <w:sz w:val="20"/>
          <w:szCs w:val="20"/>
        </w:rPr>
        <w:t>-</w:t>
      </w:r>
      <w:r>
        <w:rPr>
          <w:rFonts w:asciiTheme="majorHAnsi" w:hAnsiTheme="majorHAnsi" w:cstheme="majorHAnsi"/>
          <w:sz w:val="20"/>
          <w:szCs w:val="20"/>
          <w:lang w:val="en-US"/>
        </w:rPr>
        <w:t>event</w:t>
      </w:r>
      <w:r w:rsidRPr="00FB47AB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  <w:lang w:val="en-US"/>
        </w:rPr>
        <w:t>ru</w:t>
      </w:r>
      <w:r w:rsidRPr="00FB47AB">
        <w:rPr>
          <w:rFonts w:asciiTheme="majorHAnsi" w:hAnsiTheme="majorHAnsi" w:cstheme="majorHAnsi"/>
          <w:sz w:val="20"/>
          <w:szCs w:val="20"/>
        </w:rPr>
        <w:t>/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zodchestvovrn</w:t>
      </w:r>
      <w:proofErr w:type="spellEnd"/>
    </w:p>
    <w:p w:rsidR="00332584" w:rsidRPr="009978E9" w:rsidRDefault="00332584" w:rsidP="0033258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:rsidR="00332584" w:rsidRPr="009978E9" w:rsidRDefault="00332584" w:rsidP="0033258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:rsidR="00332584" w:rsidRPr="009978E9" w:rsidRDefault="00332584" w:rsidP="00332584">
      <w:pPr>
        <w:spacing w:after="200" w:line="276" w:lineRule="auto"/>
        <w:rPr>
          <w:rFonts w:ascii="Calibri Light" w:hAnsi="Calibri Light" w:cs="Calibri Light"/>
          <w:sz w:val="21"/>
          <w:szCs w:val="21"/>
        </w:rPr>
      </w:pPr>
    </w:p>
    <w:p w:rsidR="00332584" w:rsidRPr="009978E9" w:rsidRDefault="00332584" w:rsidP="00332584">
      <w:pPr>
        <w:rPr>
          <w:rFonts w:ascii="Calibri Light" w:hAnsi="Calibri Light" w:cs="Calibri Light"/>
          <w:sz w:val="21"/>
          <w:szCs w:val="21"/>
        </w:rPr>
      </w:pPr>
    </w:p>
    <w:p w:rsidR="005929E1" w:rsidRDefault="005929E1"/>
    <w:sectPr w:rsidR="005929E1" w:rsidSect="009978E9">
      <w:headerReference w:type="default" r:id="rId7"/>
      <w:footerReference w:type="default" r:id="rId8"/>
      <w:pgSz w:w="11906" w:h="16838"/>
      <w:pgMar w:top="284" w:right="850" w:bottom="426" w:left="99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4D" w:rsidRDefault="00A8564D">
      <w:pPr>
        <w:spacing w:after="0" w:line="240" w:lineRule="auto"/>
      </w:pPr>
      <w:r>
        <w:separator/>
      </w:r>
    </w:p>
  </w:endnote>
  <w:endnote w:type="continuationSeparator" w:id="0">
    <w:p w:rsidR="00A8564D" w:rsidRDefault="00A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E9" w:rsidRDefault="00A8564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  <w:tbl>
    <w:tblPr>
      <w:tblW w:w="10279" w:type="dxa"/>
      <w:tblInd w:w="-34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ayout w:type="fixed"/>
      <w:tblLook w:val="0400" w:firstRow="0" w:lastRow="0" w:firstColumn="0" w:lastColumn="0" w:noHBand="0" w:noVBand="1"/>
    </w:tblPr>
    <w:tblGrid>
      <w:gridCol w:w="5139"/>
      <w:gridCol w:w="5140"/>
    </w:tblGrid>
    <w:tr w:rsidR="002852E9">
      <w:trPr>
        <w:trHeight w:val="894"/>
      </w:trPr>
      <w:tc>
        <w:tcPr>
          <w:tcW w:w="5139" w:type="dxa"/>
        </w:tcPr>
        <w:p w:rsidR="002852E9" w:rsidRDefault="00A8564D">
          <w:pPr>
            <w:spacing w:after="0" w:line="240" w:lineRule="auto"/>
            <w:jc w:val="both"/>
            <w:rPr>
              <w:color w:val="595959"/>
              <w:sz w:val="14"/>
              <w:szCs w:val="14"/>
              <w:u w:val="single"/>
            </w:rPr>
          </w:pPr>
          <w:hyperlink r:id="rId1" w:tooltip="http://www.bureau-event.ru" w:history="1">
            <w:r w:rsidR="00114283">
              <w:rPr>
                <w:color w:val="595959"/>
                <w:sz w:val="14"/>
                <w:szCs w:val="14"/>
                <w:u w:val="single"/>
              </w:rPr>
              <w:t>www.bureau-event.ru</w:t>
            </w:r>
          </w:hyperlink>
        </w:p>
        <w:p w:rsidR="002852E9" w:rsidRDefault="00A8564D">
          <w:pPr>
            <w:spacing w:after="0" w:line="240" w:lineRule="auto"/>
            <w:jc w:val="both"/>
            <w:rPr>
              <w:color w:val="595959"/>
              <w:sz w:val="14"/>
              <w:szCs w:val="14"/>
              <w:u w:val="single"/>
            </w:rPr>
          </w:pPr>
          <w:hyperlink r:id="rId2" w:tooltip="mailto:info@bureau-event.ru" w:history="1">
            <w:r w:rsidR="00114283">
              <w:rPr>
                <w:color w:val="595959"/>
                <w:sz w:val="14"/>
                <w:szCs w:val="14"/>
                <w:u w:val="single"/>
              </w:rPr>
              <w:t>info@bureau-event.ru</w:t>
            </w:r>
          </w:hyperlink>
          <w:r w:rsidR="00114283">
            <w:rPr>
              <w:color w:val="595959"/>
              <w:sz w:val="14"/>
              <w:szCs w:val="14"/>
              <w:u w:val="single"/>
            </w:rPr>
            <w:t xml:space="preserve"> </w:t>
          </w:r>
        </w:p>
        <w:p w:rsidR="002852E9" w:rsidRDefault="00A8564D">
          <w:pPr>
            <w:spacing w:after="0" w:line="240" w:lineRule="auto"/>
            <w:jc w:val="both"/>
            <w:rPr>
              <w:color w:val="595959"/>
              <w:sz w:val="14"/>
              <w:szCs w:val="14"/>
            </w:rPr>
          </w:pPr>
          <w:hyperlink r:id="rId3" w:tooltip="mailto:concurs@bureau-event.ru" w:history="1">
            <w:r w:rsidR="00114283">
              <w:rPr>
                <w:color w:val="595959"/>
                <w:sz w:val="14"/>
                <w:szCs w:val="14"/>
                <w:u w:val="single"/>
              </w:rPr>
              <w:t>concurs@bureau-event.ru</w:t>
            </w:r>
          </w:hyperlink>
        </w:p>
        <w:p w:rsidR="002852E9" w:rsidRDefault="00114283">
          <w:pPr>
            <w:spacing w:after="0" w:line="240" w:lineRule="auto"/>
            <w:jc w:val="both"/>
            <w:rPr>
              <w:color w:val="595959"/>
              <w:sz w:val="16"/>
              <w:szCs w:val="16"/>
            </w:rPr>
          </w:pPr>
          <w:proofErr w:type="spellStart"/>
          <w:r>
            <w:rPr>
              <w:color w:val="595959"/>
              <w:sz w:val="14"/>
              <w:szCs w:val="14"/>
            </w:rPr>
            <w:t>tel</w:t>
          </w:r>
          <w:proofErr w:type="spellEnd"/>
          <w:r>
            <w:rPr>
              <w:color w:val="595959"/>
              <w:sz w:val="14"/>
              <w:szCs w:val="14"/>
            </w:rPr>
            <w:t>: +7 (473) 232 11 10, +7 (910) 732 11 10</w:t>
          </w:r>
        </w:p>
      </w:tc>
      <w:tc>
        <w:tcPr>
          <w:tcW w:w="5140" w:type="dxa"/>
        </w:tcPr>
        <w:p w:rsidR="002852E9" w:rsidRDefault="00114283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677"/>
              <w:tab w:val="right" w:pos="9355"/>
            </w:tabs>
            <w:jc w:val="righ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fldChar w:fldCharType="begin"/>
          </w:r>
          <w:r>
            <w:rPr>
              <w:color w:val="595959"/>
              <w:sz w:val="16"/>
              <w:szCs w:val="16"/>
            </w:rPr>
            <w:instrText>PAGE</w:instrText>
          </w:r>
          <w:r>
            <w:rPr>
              <w:color w:val="595959"/>
              <w:sz w:val="16"/>
              <w:szCs w:val="16"/>
            </w:rPr>
            <w:fldChar w:fldCharType="separate"/>
          </w:r>
          <w:r w:rsidR="00774899">
            <w:rPr>
              <w:noProof/>
              <w:color w:val="595959"/>
              <w:sz w:val="16"/>
              <w:szCs w:val="16"/>
            </w:rPr>
            <w:t>4</w:t>
          </w:r>
          <w:r>
            <w:rPr>
              <w:color w:val="595959"/>
              <w:sz w:val="16"/>
              <w:szCs w:val="16"/>
            </w:rPr>
            <w:fldChar w:fldCharType="end"/>
          </w:r>
        </w:p>
        <w:p w:rsidR="002852E9" w:rsidRDefault="00A8564D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677"/>
              <w:tab w:val="right" w:pos="9355"/>
            </w:tabs>
            <w:jc w:val="right"/>
            <w:rPr>
              <w:color w:val="595959"/>
              <w:sz w:val="16"/>
              <w:szCs w:val="16"/>
            </w:rPr>
          </w:pPr>
        </w:p>
      </w:tc>
    </w:tr>
  </w:tbl>
  <w:p w:rsidR="002852E9" w:rsidRDefault="00A8564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4D" w:rsidRDefault="00A8564D">
      <w:pPr>
        <w:spacing w:after="0" w:line="240" w:lineRule="auto"/>
      </w:pPr>
      <w:r>
        <w:separator/>
      </w:r>
    </w:p>
  </w:footnote>
  <w:footnote w:type="continuationSeparator" w:id="0">
    <w:p w:rsidR="00A8564D" w:rsidRDefault="00A8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E9" w:rsidRDefault="0011428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F42BD3C" wp14:editId="0E624D17">
          <wp:simplePos x="0" y="0"/>
          <wp:positionH relativeFrom="margin">
            <wp:posOffset>-630238</wp:posOffset>
          </wp:positionH>
          <wp:positionV relativeFrom="margin">
            <wp:posOffset>-624205</wp:posOffset>
          </wp:positionV>
          <wp:extent cx="7559675" cy="864235"/>
          <wp:effectExtent l="0" t="0" r="0" b="0"/>
          <wp:wrapSquare wrapText="bothSides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9675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52E9" w:rsidRDefault="00A8564D">
    <w:pPr>
      <w:spacing w:after="0" w:line="240" w:lineRule="auto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9DC"/>
    <w:multiLevelType w:val="hybridMultilevel"/>
    <w:tmpl w:val="E762446E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76C"/>
    <w:multiLevelType w:val="hybridMultilevel"/>
    <w:tmpl w:val="213EBA5A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037F"/>
    <w:multiLevelType w:val="hybridMultilevel"/>
    <w:tmpl w:val="88EC4908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6AB5"/>
    <w:multiLevelType w:val="hybridMultilevel"/>
    <w:tmpl w:val="EA1A9024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06867"/>
    <w:multiLevelType w:val="hybridMultilevel"/>
    <w:tmpl w:val="EC5AB752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0065"/>
    <w:multiLevelType w:val="hybridMultilevel"/>
    <w:tmpl w:val="42669138"/>
    <w:lvl w:ilvl="0" w:tplc="7196010A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A7348B5"/>
    <w:multiLevelType w:val="hybridMultilevel"/>
    <w:tmpl w:val="1F041C0E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87246"/>
    <w:multiLevelType w:val="hybridMultilevel"/>
    <w:tmpl w:val="91E2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A2796"/>
    <w:multiLevelType w:val="hybridMultilevel"/>
    <w:tmpl w:val="BF24502A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13FD"/>
    <w:multiLevelType w:val="hybridMultilevel"/>
    <w:tmpl w:val="F1084798"/>
    <w:lvl w:ilvl="0" w:tplc="719601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84"/>
    <w:rsid w:val="00114283"/>
    <w:rsid w:val="00332584"/>
    <w:rsid w:val="005929E1"/>
    <w:rsid w:val="00774899"/>
    <w:rsid w:val="00A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BB7B"/>
  <w15:chartTrackingRefBased/>
  <w15:docId w15:val="{F66157FA-2C76-4A5C-BAF3-72DFC1C8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8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5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325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curs@bureau-event.ru" TargetMode="External"/><Relationship Id="rId2" Type="http://schemas.openxmlformats.org/officeDocument/2006/relationships/hyperlink" Target="mailto:info@bureau-event.ru" TargetMode="External"/><Relationship Id="rId1" Type="http://schemas.openxmlformats.org/officeDocument/2006/relationships/hyperlink" Target="http://www.bureau-eve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Сингрисисея</dc:creator>
  <cp:keywords/>
  <dc:description/>
  <cp:lastModifiedBy>Сингрисисея</cp:lastModifiedBy>
  <cp:revision>2</cp:revision>
  <dcterms:created xsi:type="dcterms:W3CDTF">2024-06-02T04:31:00Z</dcterms:created>
  <dcterms:modified xsi:type="dcterms:W3CDTF">2024-06-02T05:33:00Z</dcterms:modified>
</cp:coreProperties>
</file>